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AC5" w:rsidRDefault="00732D2D" w:rsidP="0073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B1E8A" w:rsidRPr="00593AC5" w:rsidRDefault="00DB1E8A" w:rsidP="00B11730">
      <w:pPr>
        <w:tabs>
          <w:tab w:val="num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Отчет о деятельности</w:t>
      </w:r>
    </w:p>
    <w:p w:rsidR="00DB1E8A" w:rsidRPr="00593AC5" w:rsidRDefault="00DB1E8A" w:rsidP="00DB1E8A">
      <w:pPr>
        <w:tabs>
          <w:tab w:val="num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Контрольно-счетной палаты Черемховского районного муниципального образования за 2021 год</w:t>
      </w:r>
    </w:p>
    <w:p w:rsidR="00DB1E8A" w:rsidRPr="00593AC5" w:rsidRDefault="00DB1E8A" w:rsidP="009C1B8C">
      <w:pPr>
        <w:tabs>
          <w:tab w:val="num" w:pos="56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BE1907" w:rsidRPr="00593AC5" w:rsidRDefault="00BE1907" w:rsidP="00BE1907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I. Правовые условия и область действия контрольных полномочий</w:t>
      </w:r>
    </w:p>
    <w:p w:rsidR="00274398" w:rsidRPr="00593AC5" w:rsidRDefault="00BE1907" w:rsidP="00274398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Отчет о деятельности Контрольно-счетной палаты Черемховского районного муниципального образования за 2021 год подготовлен в соответствии со статьей 19 Федерального закона от </w:t>
      </w:r>
      <w:r w:rsidR="00DE2E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7 февраля 2011 года 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Черемховского районного муниципального образования (далее – Положение о КСП), утвержденным решением Думы Черемховского районного муниципального образования от </w:t>
      </w:r>
      <w:r w:rsidR="00E1489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27</w:t>
      </w:r>
      <w:r w:rsidR="00DE2E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октября </w:t>
      </w:r>
      <w:r w:rsidR="00E1489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2021</w:t>
      </w:r>
      <w:r w:rsidR="00DE2E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года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№ </w:t>
      </w:r>
      <w:r w:rsidR="00E1489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147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, Стандартом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утвержденным распоряжением председателя от 25</w:t>
      </w:r>
      <w:r w:rsidR="00DE2E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сентября 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2013</w:t>
      </w:r>
      <w:r w:rsidR="00DE2E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года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№ 22-р.</w:t>
      </w:r>
    </w:p>
    <w:p w:rsidR="00274398" w:rsidRPr="00593AC5" w:rsidRDefault="00274398" w:rsidP="00274398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Деятельность Контрольно-счетной палаты</w:t>
      </w:r>
      <w:r w:rsid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построена на основе годового плана. Планирование деятельности в 202</w:t>
      </w:r>
      <w:r w:rsidR="00BC48FA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</w:t>
      </w: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 (далее – Дума </w:t>
      </w:r>
      <w:r w:rsid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района</w:t>
      </w: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), предложениями и запросами мэра района, с учетом переданных в 2019 году полномочий по осуществлению внешнего муниципального финансового контроля поселениями Черемховского района.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проведенных контрольных и экспертных мероприятий в 2021 году подготовлено </w:t>
      </w:r>
      <w:r w:rsidR="00976E0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78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различных аудиторских документов, в том числе: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- 1</w:t>
      </w:r>
      <w:r w:rsidR="00976E0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аудиторских актов; 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76E0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</w:t>
      </w:r>
      <w:r w:rsid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результатам контрольных мероприятий;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76E0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аудиторских заключений;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- 1 информационная справка;</w:t>
      </w:r>
    </w:p>
    <w:p w:rsidR="00BE1907" w:rsidRPr="00593AC5" w:rsidRDefault="00BE1907" w:rsidP="00BE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76E0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</w:t>
      </w:r>
      <w:r w:rsid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принятия мер по устранению выявленных нарушений</w:t>
      </w:r>
      <w:r w:rsid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398" w:rsidRPr="00593AC5" w:rsidRDefault="00BC48FA" w:rsidP="00BC48FA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Общий объем средств, проверенных в ходе контрольных мероприятий в 202</w:t>
      </w: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году, составил </w:t>
      </w:r>
      <w:r w:rsidR="00A27CC9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384 834,4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рублей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, средств, охваченных внешней проверкой отчета об исполнении бюджета, 1</w:t>
      </w:r>
      <w:r w:rsidR="00A27CC9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 685 128,8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рублей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. По результатам контрольных мероприятий выявлены нарушения на общую сумму </w:t>
      </w:r>
      <w:r w:rsidR="00A27CC9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5 705,9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рублей</w:t>
      </w:r>
      <w:r w:rsidR="00274398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. </w:t>
      </w:r>
      <w:r w:rsidR="00A27CC9"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</w:p>
    <w:p w:rsidR="00270BB8" w:rsidRPr="00593AC5" w:rsidRDefault="00270BB8" w:rsidP="00BE1907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I</w:t>
      </w:r>
      <w:r w:rsidRPr="00593AC5">
        <w:rPr>
          <w:rFonts w:ascii="Times New Roman" w:eastAsia="Calibri" w:hAnsi="Times New Roman" w:cs="Times New Roman"/>
          <w:b/>
          <w:sz w:val="27"/>
          <w:szCs w:val="27"/>
          <w:lang w:val="en-US" w:eastAsia="ru-RU"/>
        </w:rPr>
        <w:t>I</w:t>
      </w:r>
      <w:r w:rsidRPr="00593AC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 Контрольная деятельность</w:t>
      </w:r>
    </w:p>
    <w:p w:rsidR="00270BB8" w:rsidRPr="00593AC5" w:rsidRDefault="00270BB8" w:rsidP="00270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форм внешнего муниципального финансового контроля являются контрольные мероприятия, которые проводятся Контрольно-счетной палатой путем проведения проверок, ревизий и обследований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270BB8" w:rsidRPr="00593AC5" w:rsidRDefault="00270BB8" w:rsidP="00270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2021 году Контрольно-счетной палатой проведено </w:t>
      </w:r>
      <w:r w:rsidR="00E84AED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контрольных мероприятия</w:t>
      </w:r>
      <w:r w:rsidR="00125224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50 объектах контроля, из них – 26 органов местного самоуправления и 24 муниципальных учреждений.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5224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BB8" w:rsidRPr="00593AC5" w:rsidRDefault="00270BB8" w:rsidP="00270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реализации контрольных полномочий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</w:t>
      </w:r>
      <w:r w:rsidR="00125224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целом, в результате контрольных мероприятий специалистами КСП в 202</w:t>
      </w:r>
      <w:r w:rsidR="00125224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выявлены случаи расходования бюджетных средств с нарушениями законодательства Российской Федерации, и нормативно-правовых актов муниципального образования, на общую сумму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5 675,0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="00F43FE0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числе:</w:t>
      </w:r>
    </w:p>
    <w:p w:rsidR="00E35C7E" w:rsidRPr="00593AC5" w:rsidRDefault="00E35C7E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D5C76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 ведения бухгалтерского учета – 37,5 тыс.</w:t>
      </w:r>
      <w:r w:rsidR="00E14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D5C76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нарушения при осуществлении муниципальных закупок в рамках </w:t>
      </w:r>
      <w:r w:rsidR="00DE2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ФЗ                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44-ФЗ –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3 313,</w:t>
      </w:r>
      <w:proofErr w:type="gramStart"/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</w:t>
      </w:r>
      <w:proofErr w:type="gramEnd"/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E1907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нарушения при формировании и исполнении бюджета –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790,9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иные нарушения –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D5C76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D5C76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33,5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0BB8" w:rsidRPr="00593AC5" w:rsidRDefault="00E1489D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 течение 2021 года фактов нецелевого использования бюджетных средств не выявлено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. </w:t>
      </w:r>
      <w:r w:rsidR="00270BB8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контрольных мероприятий составлено </w:t>
      </w:r>
      <w:r w:rsidR="00976E0B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аудиторских актов проверок и </w:t>
      </w:r>
      <w:r w:rsidR="00976E0B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результатах контрольных мероприятий. Все результаты контрольной деятельности доведены до сведения руководителей проверенных органов и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учреждений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контрольных мероприятий в проверенные муниципальные органы и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направлены </w:t>
      </w:r>
      <w:r w:rsidR="00976E0B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изложением результатов проверки их деятельности для устранения нарушений и недостатков.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отчетного периода осуществлялся текущий контроль за исполнением представлений Контрольно-счетной палаты, включающий в себя анализ результатов их реализации, оценку соблюдения сроков рассмотрения представлений, информирования о принятых мерах, анализ причин неисполнения представлений.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 представления</w:t>
      </w:r>
      <w:proofErr w:type="gramEnd"/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контроля в связи с принятием исчерпывающих мер по устранению выявленных нарушений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большинстве случаев предложения Контрольно-счетной палаты учтены в работе учреждений и исполнены</w:t>
      </w:r>
      <w:r w:rsidR="003F6D8E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Достоверность сведений, указанных в ответах на представления, проверяется Контрольно-счетной палатой, как при повторных плановых мероприятиях, так и в ходе специально проводимых для этого проверках.  </w:t>
      </w:r>
    </w:p>
    <w:p w:rsidR="00270BB8" w:rsidRPr="00593AC5" w:rsidRDefault="00270BB8" w:rsidP="00F43F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Положением о Контрольно-счетной палате </w:t>
      </w:r>
      <w:r w:rsidR="00F43FE0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заключения и информационно-аналитические материалы направлялись мэру и Думе </w:t>
      </w:r>
      <w:r w:rsidR="00F43FE0"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59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рассмотрения и принятия соответствующих решений.  </w:t>
      </w:r>
    </w:p>
    <w:p w:rsidR="008A7865" w:rsidRPr="00593AC5" w:rsidRDefault="0081513B" w:rsidP="008151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3AC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="008A7865" w:rsidRPr="00593AC5">
        <w:rPr>
          <w:rFonts w:ascii="Times New Roman" w:hAnsi="Times New Roman"/>
          <w:sz w:val="27"/>
          <w:szCs w:val="27"/>
        </w:rPr>
        <w:t>В рамках исполнения бюджетных полномочий, предусмотренных Бюджетным кодексом РФ, Положением о бюджетном процессе, проведена Внешняя проверка отчета об исполнении бюджета Черемховского районного муниципального образования за 20</w:t>
      </w:r>
      <w:r w:rsidR="004A2D69" w:rsidRPr="00593AC5">
        <w:rPr>
          <w:rFonts w:ascii="Times New Roman" w:hAnsi="Times New Roman"/>
          <w:sz w:val="27"/>
          <w:szCs w:val="27"/>
        </w:rPr>
        <w:t>20</w:t>
      </w:r>
      <w:r w:rsidR="008A7865" w:rsidRPr="00593AC5">
        <w:rPr>
          <w:rFonts w:ascii="Times New Roman" w:hAnsi="Times New Roman"/>
          <w:sz w:val="27"/>
          <w:szCs w:val="27"/>
        </w:rPr>
        <w:t xml:space="preserve"> год, по результатам подготовлено заключение от 30</w:t>
      </w:r>
      <w:r w:rsidR="00DE2E16">
        <w:rPr>
          <w:rFonts w:ascii="Times New Roman" w:hAnsi="Times New Roman"/>
          <w:sz w:val="27"/>
          <w:szCs w:val="27"/>
        </w:rPr>
        <w:t xml:space="preserve"> апреля </w:t>
      </w:r>
      <w:r w:rsidR="008A7865" w:rsidRPr="00593AC5">
        <w:rPr>
          <w:rFonts w:ascii="Times New Roman" w:hAnsi="Times New Roman"/>
          <w:sz w:val="27"/>
          <w:szCs w:val="27"/>
        </w:rPr>
        <w:t>20</w:t>
      </w:r>
      <w:r w:rsidR="00B21ED8" w:rsidRPr="00593AC5">
        <w:rPr>
          <w:rFonts w:ascii="Times New Roman" w:hAnsi="Times New Roman"/>
          <w:sz w:val="27"/>
          <w:szCs w:val="27"/>
        </w:rPr>
        <w:t>21</w:t>
      </w:r>
      <w:r w:rsidR="008A7865" w:rsidRPr="00593AC5">
        <w:rPr>
          <w:rFonts w:ascii="Times New Roman" w:hAnsi="Times New Roman"/>
          <w:sz w:val="27"/>
          <w:szCs w:val="27"/>
        </w:rPr>
        <w:t xml:space="preserve"> г. № 1</w:t>
      </w:r>
      <w:r w:rsidR="00B21ED8" w:rsidRPr="00593AC5">
        <w:rPr>
          <w:rFonts w:ascii="Times New Roman" w:hAnsi="Times New Roman"/>
          <w:sz w:val="27"/>
          <w:szCs w:val="27"/>
        </w:rPr>
        <w:t>9</w:t>
      </w:r>
      <w:r w:rsidR="008A7865" w:rsidRPr="00593AC5">
        <w:rPr>
          <w:rFonts w:ascii="Times New Roman" w:hAnsi="Times New Roman"/>
          <w:sz w:val="27"/>
          <w:szCs w:val="27"/>
        </w:rPr>
        <w:t>-</w:t>
      </w:r>
      <w:r w:rsidR="00B21ED8" w:rsidRPr="00593AC5">
        <w:rPr>
          <w:rFonts w:ascii="Times New Roman" w:hAnsi="Times New Roman"/>
          <w:sz w:val="27"/>
          <w:szCs w:val="27"/>
        </w:rPr>
        <w:t>з</w:t>
      </w:r>
      <w:r w:rsidR="008A7865" w:rsidRPr="00593AC5">
        <w:rPr>
          <w:rFonts w:ascii="Times New Roman" w:hAnsi="Times New Roman"/>
          <w:sz w:val="27"/>
          <w:szCs w:val="27"/>
        </w:rPr>
        <w:t>.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внешней проверки проведен анализ организации бюджетного процесса, анализ исполнения основных характеристик бюджета в 2020 году, анализ исполнения доходной части и исполнения районного бюджета за 2020 год по разделам функциональной классификации, проанализировано исполнение муниципальных целевых программ, финансируемых из местного бюджета в 2020 году, проведена 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нешняя проверка консолидированной бюджетной отчетности,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проверялась сводная бюджетная роспись, бюджетные сметы и ведение реестра расходных обязательств, муниципальный долг и резервный фонд. 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90ADD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аключении КСП на годовой отчет об исполнении бюджета отмечалось, что в течение 2020 года в местный бюджет поступило доходов 1 419 240,3 тыс.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на 82 007,5 тыс.</w:t>
      </w:r>
      <w:r w:rsidR="00790ADD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790ADD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 первоначального утвержденного бюджета. 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расходов местный бюджет был исполнен на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106,4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от первоначального плана и на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97,9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от уточненного, что составило в абсолютной величине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1 428 295,4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исполнения местного бюджета за 20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результате образовался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бюджета в сумме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9 055,1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КСП в рамках проведения внешней проверки отчета об исполнении бюджета за 20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проверена бюджетная отчетность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главных распорядителей бюджетных средств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внешней проверки годовой бюджетной отчетности 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восьми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главных распорядителей средств местного бюджета подготовлены отдельные </w:t>
      </w:r>
      <w:r w:rsidR="00E35C7E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акты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1ED8" w:rsidRPr="00593AC5" w:rsidRDefault="00B21ED8" w:rsidP="00B21E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бюджетной отчетности главных распорядителей бюджетных средств установила</w:t>
      </w:r>
      <w:r w:rsidR="003A0EF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отчетность подготовлена в соблюдении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06</w:t>
      </w:r>
      <w:r w:rsidR="00DE2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2011</w:t>
      </w:r>
      <w:r w:rsidR="00DE2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402-ФЗ «О бухгалтерском учете»</w:t>
      </w:r>
      <w:r w:rsidR="00614AD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5" w:history="1">
        <w:r w:rsidRPr="00593AC5">
          <w:rPr>
            <w:rFonts w:ascii="Times New Roman" w:hAnsi="Times New Roman"/>
            <w:bCs/>
            <w:sz w:val="27"/>
            <w:szCs w:val="27"/>
          </w:rPr>
          <w:t>Приказ</w:t>
        </w:r>
        <w:r w:rsidR="00614ADB" w:rsidRPr="00593AC5">
          <w:rPr>
            <w:rFonts w:ascii="Times New Roman" w:hAnsi="Times New Roman"/>
            <w:bCs/>
            <w:sz w:val="27"/>
            <w:szCs w:val="27"/>
          </w:rPr>
          <w:t>а</w:t>
        </w:r>
        <w:r w:rsidRPr="00593AC5">
          <w:rPr>
            <w:rFonts w:ascii="Times New Roman" w:hAnsi="Times New Roman"/>
            <w:bCs/>
            <w:sz w:val="27"/>
            <w:szCs w:val="27"/>
          </w:rPr>
          <w:t xml:space="preserve"> Минфина РФ от 28</w:t>
        </w:r>
        <w:r w:rsidR="00DE2E16">
          <w:rPr>
            <w:rFonts w:ascii="Times New Roman" w:hAnsi="Times New Roman"/>
            <w:bCs/>
            <w:sz w:val="27"/>
            <w:szCs w:val="27"/>
          </w:rPr>
          <w:t xml:space="preserve"> декабря </w:t>
        </w:r>
        <w:r w:rsidRPr="00593AC5">
          <w:rPr>
            <w:rFonts w:ascii="Times New Roman" w:hAnsi="Times New Roman"/>
            <w:bCs/>
            <w:sz w:val="27"/>
            <w:szCs w:val="27"/>
          </w:rPr>
          <w:t>2010 г</w:t>
        </w:r>
        <w:r w:rsidR="00DE2E16">
          <w:rPr>
            <w:rFonts w:ascii="Times New Roman" w:hAnsi="Times New Roman"/>
            <w:bCs/>
            <w:sz w:val="27"/>
            <w:szCs w:val="27"/>
          </w:rPr>
          <w:t>ода</w:t>
        </w:r>
        <w:r w:rsidRPr="00593AC5">
          <w:rPr>
            <w:rFonts w:ascii="Times New Roman" w:hAnsi="Times New Roman"/>
            <w:bCs/>
            <w:sz w:val="27"/>
            <w:szCs w:val="27"/>
          </w:rPr>
          <w:t> </w:t>
        </w:r>
        <w:r w:rsidR="00DE2E16">
          <w:rPr>
            <w:rFonts w:ascii="Times New Roman" w:hAnsi="Times New Roman"/>
            <w:bCs/>
            <w:sz w:val="27"/>
            <w:szCs w:val="27"/>
          </w:rPr>
          <w:t>№</w:t>
        </w:r>
        <w:r w:rsidRPr="00593AC5">
          <w:rPr>
            <w:rFonts w:ascii="Times New Roman" w:hAnsi="Times New Roman"/>
            <w:bCs/>
            <w:sz w:val="27"/>
            <w:szCs w:val="27"/>
          </w:rPr>
  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  <w:r w:rsidR="00614ADB" w:rsidRPr="00593AC5">
          <w:rPr>
            <w:rFonts w:ascii="Times New Roman" w:hAnsi="Times New Roman"/>
            <w:bCs/>
            <w:sz w:val="27"/>
            <w:szCs w:val="27"/>
          </w:rPr>
          <w:t>»</w:t>
        </w:r>
      </w:hyperlink>
      <w:r w:rsidR="00614ADB" w:rsidRPr="00593AC5">
        <w:rPr>
          <w:rFonts w:ascii="Times New Roman" w:hAnsi="Times New Roman"/>
          <w:bCs/>
          <w:sz w:val="27"/>
          <w:szCs w:val="27"/>
        </w:rPr>
        <w:t xml:space="preserve"> и </w:t>
      </w:r>
      <w:r w:rsidR="00614ADB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целом признана достоверной.  </w:t>
      </w:r>
    </w:p>
    <w:p w:rsidR="00B21ED8" w:rsidRPr="00593AC5" w:rsidRDefault="00614ADB" w:rsidP="00614ADB">
      <w:pPr>
        <w:pStyle w:val="Con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hAnsi="Times New Roman"/>
          <w:sz w:val="27"/>
          <w:szCs w:val="27"/>
        </w:rPr>
        <w:t xml:space="preserve"> </w:t>
      </w:r>
      <w:r w:rsidRPr="00593AC5">
        <w:rPr>
          <w:rFonts w:ascii="Times New Roman" w:hAnsi="Times New Roman"/>
          <w:sz w:val="27"/>
          <w:szCs w:val="27"/>
        </w:rPr>
        <w:tab/>
      </w:r>
      <w:r w:rsidR="008A7865" w:rsidRPr="00593AC5">
        <w:rPr>
          <w:rFonts w:ascii="Times New Roman" w:hAnsi="Times New Roman"/>
          <w:bCs/>
          <w:sz w:val="27"/>
          <w:szCs w:val="27"/>
        </w:rPr>
        <w:t xml:space="preserve">В целях выполнения принятых полномочий по осуществлению внешнего муниципального финансового контроля в </w:t>
      </w:r>
      <w:r w:rsidR="00B21ED8" w:rsidRPr="00593AC5">
        <w:rPr>
          <w:rFonts w:ascii="Times New Roman" w:hAnsi="Times New Roman"/>
          <w:bCs/>
          <w:sz w:val="27"/>
          <w:szCs w:val="27"/>
        </w:rPr>
        <w:t xml:space="preserve">18 </w:t>
      </w:r>
      <w:r w:rsidR="008A7865" w:rsidRPr="00593AC5">
        <w:rPr>
          <w:rFonts w:ascii="Times New Roman" w:hAnsi="Times New Roman"/>
          <w:bCs/>
          <w:sz w:val="27"/>
          <w:szCs w:val="27"/>
        </w:rPr>
        <w:t>поселениях района, были проведены внешние проверки годовых отчетов об исполнении бюджетов поселений за 20</w:t>
      </w:r>
      <w:r w:rsidR="00B21ED8" w:rsidRPr="00593AC5">
        <w:rPr>
          <w:rFonts w:ascii="Times New Roman" w:hAnsi="Times New Roman"/>
          <w:bCs/>
          <w:sz w:val="27"/>
          <w:szCs w:val="27"/>
        </w:rPr>
        <w:t>20</w:t>
      </w:r>
      <w:r w:rsidR="008A7865" w:rsidRPr="00593AC5">
        <w:rPr>
          <w:rFonts w:ascii="Times New Roman" w:hAnsi="Times New Roman"/>
          <w:bCs/>
          <w:sz w:val="27"/>
          <w:szCs w:val="27"/>
        </w:rPr>
        <w:t xml:space="preserve"> год.</w:t>
      </w:r>
      <w:r w:rsidR="00B21ED8" w:rsidRPr="00593AC5">
        <w:rPr>
          <w:rFonts w:ascii="Times New Roman" w:hAnsi="Times New Roman"/>
          <w:bCs/>
          <w:sz w:val="27"/>
          <w:szCs w:val="27"/>
        </w:rPr>
        <w:t xml:space="preserve"> По каждому муниципальному образованию подготовлены заключения с предложениями и </w:t>
      </w:r>
      <w:proofErr w:type="gramStart"/>
      <w:r w:rsidR="00B21ED8" w:rsidRPr="00593AC5">
        <w:rPr>
          <w:rFonts w:ascii="Times New Roman" w:hAnsi="Times New Roman"/>
          <w:bCs/>
          <w:sz w:val="27"/>
          <w:szCs w:val="27"/>
        </w:rPr>
        <w:t>рекомендациями</w:t>
      </w:r>
      <w:proofErr w:type="gramEnd"/>
      <w:r w:rsidR="00B21ED8" w:rsidRPr="00593AC5">
        <w:rPr>
          <w:rFonts w:ascii="Times New Roman" w:hAnsi="Times New Roman"/>
          <w:bCs/>
          <w:sz w:val="27"/>
          <w:szCs w:val="27"/>
        </w:rPr>
        <w:t xml:space="preserve"> адресованными главам поселений.</w:t>
      </w:r>
    </w:p>
    <w:p w:rsidR="00192800" w:rsidRPr="00593AC5" w:rsidRDefault="001F51F9" w:rsidP="000D08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93AC5">
        <w:rPr>
          <w:rFonts w:ascii="Times New Roman" w:hAnsi="Times New Roman" w:cs="Times New Roman"/>
          <w:iCs/>
          <w:sz w:val="27"/>
          <w:szCs w:val="27"/>
        </w:rPr>
        <w:t xml:space="preserve">В сфере внимания КСП, в 2021 году была тема </w:t>
      </w:r>
      <w:r w:rsidR="00192800" w:rsidRPr="00593AC5">
        <w:rPr>
          <w:rFonts w:ascii="Times New Roman" w:hAnsi="Times New Roman" w:cs="Times New Roman"/>
          <w:iCs/>
          <w:sz w:val="27"/>
          <w:szCs w:val="27"/>
        </w:rPr>
        <w:t>законного использования в 2020 году бюджетных средств на выплату заработной платы работникам учреждений культуры. Проверки проведены в трех муниципальных учреждениях:</w:t>
      </w:r>
    </w:p>
    <w:p w:rsidR="00192800" w:rsidRPr="00593AC5" w:rsidRDefault="00192800" w:rsidP="000D0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- МКУ «Культурно-досуговый центр </w:t>
      </w:r>
      <w:proofErr w:type="spellStart"/>
      <w:r w:rsidRPr="00593AC5">
        <w:rPr>
          <w:rFonts w:ascii="Times New Roman" w:hAnsi="Times New Roman" w:cs="Times New Roman"/>
          <w:sz w:val="27"/>
          <w:szCs w:val="27"/>
        </w:rPr>
        <w:t>Новогромовского</w:t>
      </w:r>
      <w:proofErr w:type="spellEnd"/>
      <w:r w:rsidRPr="00593AC5">
        <w:rPr>
          <w:rFonts w:ascii="Times New Roman" w:hAnsi="Times New Roman" w:cs="Times New Roman"/>
          <w:sz w:val="27"/>
          <w:szCs w:val="27"/>
        </w:rPr>
        <w:t xml:space="preserve"> сельского поселения»;</w:t>
      </w:r>
    </w:p>
    <w:p w:rsidR="00192800" w:rsidRPr="00593AC5" w:rsidRDefault="00192800" w:rsidP="000D0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- МКУК «Культурно-досуговый центр </w:t>
      </w:r>
      <w:proofErr w:type="spellStart"/>
      <w:r w:rsidRPr="00593AC5">
        <w:rPr>
          <w:rFonts w:ascii="Times New Roman" w:hAnsi="Times New Roman" w:cs="Times New Roman"/>
          <w:sz w:val="27"/>
          <w:szCs w:val="27"/>
        </w:rPr>
        <w:t>Булайского</w:t>
      </w:r>
      <w:proofErr w:type="spellEnd"/>
      <w:r w:rsidRPr="00593AC5">
        <w:rPr>
          <w:rFonts w:ascii="Times New Roman" w:hAnsi="Times New Roman" w:cs="Times New Roman"/>
          <w:sz w:val="27"/>
          <w:szCs w:val="27"/>
        </w:rPr>
        <w:t xml:space="preserve"> сельского поселения»;</w:t>
      </w:r>
    </w:p>
    <w:p w:rsidR="00192800" w:rsidRPr="00593AC5" w:rsidRDefault="00192800" w:rsidP="000D08BB">
      <w:pPr>
        <w:pStyle w:val="ConsNormal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hAnsi="Times New Roman"/>
          <w:sz w:val="27"/>
          <w:szCs w:val="27"/>
        </w:rPr>
        <w:t xml:space="preserve">- МКУК «Культурно-досуговый центр </w:t>
      </w:r>
      <w:proofErr w:type="spellStart"/>
      <w:r w:rsidRPr="00593AC5">
        <w:rPr>
          <w:rFonts w:ascii="Times New Roman" w:hAnsi="Times New Roman"/>
          <w:sz w:val="27"/>
          <w:szCs w:val="27"/>
        </w:rPr>
        <w:t>Узколугского</w:t>
      </w:r>
      <w:proofErr w:type="spellEnd"/>
      <w:r w:rsidRPr="00593AC5">
        <w:rPr>
          <w:rFonts w:ascii="Times New Roman" w:hAnsi="Times New Roman"/>
          <w:sz w:val="27"/>
          <w:szCs w:val="27"/>
        </w:rPr>
        <w:t xml:space="preserve"> сельского поселения».</w:t>
      </w:r>
    </w:p>
    <w:p w:rsidR="000D08BB" w:rsidRPr="00593AC5" w:rsidRDefault="000D08BB" w:rsidP="000D0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проверенных средств составил 5 467,7 тыс.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3A74" w:rsidRPr="00593AC5" w:rsidRDefault="000D08BB" w:rsidP="000D0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Выявлено нарушений на общую сумму 962 тыс. </w:t>
      </w:r>
      <w:r w:rsidR="00BE1907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43A7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4B69" w:rsidRPr="00593AC5" w:rsidRDefault="00E43A74" w:rsidP="00E43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часть установленных нарушений касается норм Трудового кодекса, </w:t>
      </w:r>
      <w:r w:rsidR="00064B6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такие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</w:t>
      </w:r>
      <w:r w:rsidR="00064B6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91C" w:rsidRPr="00593AC5" w:rsidRDefault="00064B69" w:rsidP="00E43A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43A7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статьи 144 ТК</w:t>
      </w:r>
      <w:r w:rsidR="00DE2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3A7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РФ учреждениями </w:t>
      </w:r>
      <w:r w:rsidR="00E43A74" w:rsidRPr="00593AC5">
        <w:rPr>
          <w:rFonts w:ascii="Times New Roman" w:hAnsi="Times New Roman" w:cs="Times New Roman"/>
          <w:bCs/>
          <w:iCs/>
          <w:sz w:val="27"/>
          <w:szCs w:val="27"/>
        </w:rPr>
        <w:t>не разработаны</w:t>
      </w:r>
      <w:r w:rsidR="00E43A74" w:rsidRPr="00593AC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</w:t>
      </w:r>
      <w:r w:rsidR="0054191C" w:rsidRPr="00593AC5">
        <w:rPr>
          <w:rFonts w:ascii="Times New Roman" w:hAnsi="Times New Roman" w:cs="Times New Roman"/>
          <w:bCs/>
          <w:iCs/>
          <w:sz w:val="27"/>
          <w:szCs w:val="27"/>
        </w:rPr>
        <w:t>локальные нормативные акты</w:t>
      </w:r>
      <w:r w:rsidR="00E43A74"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по оплате труда;</w:t>
      </w:r>
    </w:p>
    <w:p w:rsidR="00E43A74" w:rsidRPr="00593AC5" w:rsidRDefault="00E43A74" w:rsidP="00E43A74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93AC5">
        <w:rPr>
          <w:rFonts w:ascii="Times New Roman" w:hAnsi="Times New Roman" w:cs="Times New Roman"/>
          <w:bCs/>
          <w:iCs/>
          <w:sz w:val="27"/>
          <w:szCs w:val="27"/>
        </w:rPr>
        <w:t>- в</w:t>
      </w:r>
      <w:r w:rsidRPr="00593AC5">
        <w:rPr>
          <w:rFonts w:ascii="Times New Roman" w:hAnsi="Times New Roman" w:cs="Times New Roman"/>
          <w:sz w:val="27"/>
          <w:szCs w:val="27"/>
        </w:rPr>
        <w:t xml:space="preserve"> нарушение статьи 275 ТК РФ трудовые договоры с </w:t>
      </w:r>
      <w:proofErr w:type="gramStart"/>
      <w:r w:rsidRPr="00593AC5">
        <w:rPr>
          <w:rFonts w:ascii="Times New Roman" w:hAnsi="Times New Roman" w:cs="Times New Roman"/>
          <w:sz w:val="27"/>
          <w:szCs w:val="27"/>
        </w:rPr>
        <w:t xml:space="preserve">руководителями </w:t>
      </w:r>
      <w:r w:rsidR="00064B69" w:rsidRPr="00593AC5">
        <w:rPr>
          <w:rFonts w:ascii="Times New Roman" w:hAnsi="Times New Roman" w:cs="Times New Roman"/>
          <w:sz w:val="27"/>
          <w:szCs w:val="27"/>
        </w:rPr>
        <w:t xml:space="preserve"> 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>не</w:t>
      </w:r>
      <w:proofErr w:type="gramEnd"/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соответствуют типовой форме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>. К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>роме того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отмечены случаи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заключ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ения </w:t>
      </w:r>
      <w:proofErr w:type="gramStart"/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трудовых 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на</w:t>
      </w:r>
      <w:proofErr w:type="gramEnd"/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неопределенный срок, что противоречит Уставам проверяемых Учреждений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064B69" w:rsidRPr="00593AC5" w:rsidRDefault="00E43A74" w:rsidP="00E43A74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93AC5">
        <w:rPr>
          <w:rFonts w:ascii="Times New Roman" w:hAnsi="Times New Roman" w:cs="Times New Roman"/>
          <w:bCs/>
          <w:iCs/>
          <w:sz w:val="27"/>
          <w:szCs w:val="27"/>
        </w:rPr>
        <w:t>- в нарушение статей 57, 72 ТК РФ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при 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>изменени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>и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условий оплаты труда руководителей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>, при совмещении должностей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 не оформл</w:t>
      </w:r>
      <w:r w:rsidR="00064B69" w:rsidRPr="00593AC5">
        <w:rPr>
          <w:rFonts w:ascii="Times New Roman" w:hAnsi="Times New Roman" w:cs="Times New Roman"/>
          <w:bCs/>
          <w:iCs/>
          <w:sz w:val="27"/>
          <w:szCs w:val="27"/>
        </w:rPr>
        <w:t>ялись соглашения о изменениях;</w:t>
      </w:r>
    </w:p>
    <w:p w:rsidR="00E43A74" w:rsidRPr="00593AC5" w:rsidRDefault="00E43A74" w:rsidP="00E43A74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- в</w:t>
      </w:r>
      <w:r w:rsidRPr="00593AC5">
        <w:rPr>
          <w:rFonts w:ascii="Times New Roman" w:hAnsi="Times New Roman" w:cs="Times New Roman"/>
          <w:sz w:val="27"/>
          <w:szCs w:val="27"/>
        </w:rPr>
        <w:t xml:space="preserve"> нарушение статьи 136 ТК РФ во всех учреждениях установлены случаи выплаты отпускных в более поздние сроки, чем предусмотрено соответствующими нормативными актами</w:t>
      </w:r>
      <w:r w:rsidR="00064B69" w:rsidRPr="00593AC5">
        <w:rPr>
          <w:rFonts w:ascii="Times New Roman" w:hAnsi="Times New Roman" w:cs="Times New Roman"/>
          <w:sz w:val="27"/>
          <w:szCs w:val="27"/>
        </w:rPr>
        <w:t>;</w:t>
      </w:r>
    </w:p>
    <w:p w:rsidR="00064B69" w:rsidRPr="00593AC5" w:rsidRDefault="00064B69" w:rsidP="00064B69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r w:rsidR="00786201" w:rsidRPr="00593AC5">
        <w:rPr>
          <w:rFonts w:ascii="Times New Roman" w:hAnsi="Times New Roman" w:cs="Times New Roman"/>
          <w:sz w:val="27"/>
          <w:szCs w:val="27"/>
        </w:rPr>
        <w:t>случаи несоответствия стимулирующих надбавок, установленных в штатном расписании Учреждений с Положениями о стимулирующих выплатах.</w:t>
      </w:r>
      <w:r w:rsidR="002B6F7D" w:rsidRPr="00593AC5">
        <w:rPr>
          <w:rFonts w:ascii="Times New Roman" w:hAnsi="Times New Roman" w:cs="Times New Roman"/>
          <w:sz w:val="27"/>
          <w:szCs w:val="27"/>
        </w:rPr>
        <w:t xml:space="preserve"> Т</w:t>
      </w:r>
      <w:r w:rsidR="00786201" w:rsidRPr="00593AC5">
        <w:rPr>
          <w:rFonts w:ascii="Times New Roman" w:hAnsi="Times New Roman" w:cs="Times New Roman"/>
          <w:sz w:val="27"/>
          <w:szCs w:val="27"/>
        </w:rPr>
        <w:t xml:space="preserve">акже </w:t>
      </w:r>
      <w:r w:rsidR="002B6F7D" w:rsidRPr="00593AC5">
        <w:rPr>
          <w:rFonts w:ascii="Times New Roman" w:hAnsi="Times New Roman" w:cs="Times New Roman"/>
          <w:sz w:val="27"/>
          <w:szCs w:val="27"/>
        </w:rPr>
        <w:t xml:space="preserve">установлено </w:t>
      </w:r>
      <w:r w:rsidR="00786201" w:rsidRPr="00593AC5">
        <w:rPr>
          <w:rFonts w:ascii="Times New Roman" w:hAnsi="Times New Roman" w:cs="Times New Roman"/>
          <w:sz w:val="27"/>
          <w:szCs w:val="27"/>
        </w:rPr>
        <w:t>распределени</w:t>
      </w:r>
      <w:r w:rsidR="002B6F7D" w:rsidRPr="00593AC5">
        <w:rPr>
          <w:rFonts w:ascii="Times New Roman" w:hAnsi="Times New Roman" w:cs="Times New Roman"/>
          <w:sz w:val="27"/>
          <w:szCs w:val="27"/>
        </w:rPr>
        <w:t>е</w:t>
      </w:r>
      <w:r w:rsidR="00786201" w:rsidRPr="00593AC5">
        <w:rPr>
          <w:rFonts w:ascii="Times New Roman" w:hAnsi="Times New Roman" w:cs="Times New Roman"/>
          <w:sz w:val="27"/>
          <w:szCs w:val="27"/>
        </w:rPr>
        <w:t xml:space="preserve"> фонда стимулирующих выплат работникам с нарушением </w:t>
      </w:r>
      <w:r w:rsidR="00786201" w:rsidRPr="00593AC5">
        <w:rPr>
          <w:rFonts w:ascii="Times New Roman" w:hAnsi="Times New Roman" w:cs="Times New Roman"/>
          <w:bCs/>
          <w:iCs/>
          <w:sz w:val="27"/>
          <w:szCs w:val="27"/>
        </w:rPr>
        <w:t>утвержденной методики расчета, без учета рекомендаций комиссий по определению размеров стимулирующих выплат,</w:t>
      </w:r>
    </w:p>
    <w:p w:rsidR="00064B69" w:rsidRPr="00593AC5" w:rsidRDefault="00064B69" w:rsidP="00064B69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Во всех проверенных учреждениях культуры </w:t>
      </w:r>
      <w:r w:rsidR="002B6F7D" w:rsidRPr="00593AC5">
        <w:rPr>
          <w:rFonts w:ascii="Times New Roman" w:hAnsi="Times New Roman" w:cs="Times New Roman"/>
          <w:sz w:val="27"/>
          <w:szCs w:val="27"/>
        </w:rPr>
        <w:t>выявлено</w:t>
      </w:r>
      <w:r w:rsidRPr="00593AC5">
        <w:rPr>
          <w:rFonts w:ascii="Times New Roman" w:hAnsi="Times New Roman" w:cs="Times New Roman"/>
          <w:sz w:val="27"/>
          <w:szCs w:val="27"/>
        </w:rPr>
        <w:t xml:space="preserve"> наличие в проверяемом периоде работников, </w:t>
      </w:r>
      <w:r w:rsidRPr="00593AC5">
        <w:rPr>
          <w:rFonts w:ascii="Times New Roman" w:hAnsi="Times New Roman" w:cs="Times New Roman"/>
          <w:bCs/>
          <w:iCs/>
          <w:sz w:val="27"/>
          <w:szCs w:val="27"/>
        </w:rPr>
        <w:t xml:space="preserve">не соответствующих основным квалификационным требованиям </w:t>
      </w:r>
      <w:r w:rsidRPr="00593AC5">
        <w:rPr>
          <w:rFonts w:ascii="Times New Roman" w:hAnsi="Times New Roman" w:cs="Times New Roman"/>
          <w:sz w:val="27"/>
          <w:szCs w:val="27"/>
        </w:rPr>
        <w:t>для замещения должностей в соответствии с Единым квалификационным справочником должностей руководителей, специалистов и служащих, утвержденного приказом Министерства здравоохранения и социального развития РФ от 30</w:t>
      </w:r>
      <w:r w:rsidR="00DE2E16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593AC5">
        <w:rPr>
          <w:rFonts w:ascii="Times New Roman" w:hAnsi="Times New Roman" w:cs="Times New Roman"/>
          <w:sz w:val="27"/>
          <w:szCs w:val="27"/>
        </w:rPr>
        <w:t>2011</w:t>
      </w:r>
      <w:r w:rsidR="00DE2E1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593AC5">
        <w:rPr>
          <w:rFonts w:ascii="Times New Roman" w:hAnsi="Times New Roman" w:cs="Times New Roman"/>
          <w:sz w:val="27"/>
          <w:szCs w:val="27"/>
        </w:rPr>
        <w:t xml:space="preserve"> № 251н.</w:t>
      </w:r>
    </w:p>
    <w:p w:rsidR="002B6F7D" w:rsidRPr="00593AC5" w:rsidRDefault="002B6F7D" w:rsidP="00876BED">
      <w:pPr>
        <w:spacing w:after="0"/>
        <w:ind w:firstLine="709"/>
        <w:jc w:val="both"/>
        <w:rPr>
          <w:sz w:val="27"/>
          <w:szCs w:val="27"/>
        </w:rPr>
      </w:pPr>
      <w:r w:rsidRPr="00593AC5">
        <w:rPr>
          <w:rFonts w:ascii="Times New Roman" w:hAnsi="Times New Roman" w:cs="Times New Roman"/>
          <w:bCs/>
          <w:iCs/>
          <w:sz w:val="27"/>
          <w:szCs w:val="27"/>
        </w:rPr>
        <w:t>По результатам контрольного мероприятия руководителям Учреждений, главам Поселений направлено шесть представлений.</w:t>
      </w:r>
      <w:r w:rsidRPr="00593AC5">
        <w:rPr>
          <w:sz w:val="27"/>
          <w:szCs w:val="27"/>
        </w:rPr>
        <w:t xml:space="preserve">  </w:t>
      </w:r>
    </w:p>
    <w:p w:rsidR="00AE417B" w:rsidRPr="00593AC5" w:rsidRDefault="00876BED" w:rsidP="00876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Нарушения</w:t>
      </w:r>
      <w:r w:rsidR="00E35C7E" w:rsidRPr="00593AC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отраженные в </w:t>
      </w:r>
      <w:r w:rsidR="00E35C7E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актах проверки и представлениях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5C7E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чреждениями</w:t>
      </w:r>
      <w:r w:rsidR="00E35C7E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администрациями поселений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проанализированы</w:t>
      </w:r>
      <w:r w:rsidR="00E35C7E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приняты во внимание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устранены.</w:t>
      </w:r>
    </w:p>
    <w:p w:rsidR="00F17C24" w:rsidRPr="00593AC5" w:rsidRDefault="00E35C7E" w:rsidP="0023385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>И</w:t>
      </w:r>
      <w:r w:rsidR="00233853" w:rsidRPr="00593AC5">
        <w:rPr>
          <w:rFonts w:ascii="Times New Roman" w:hAnsi="Times New Roman" w:cs="Times New Roman"/>
          <w:sz w:val="27"/>
          <w:szCs w:val="27"/>
        </w:rPr>
        <w:t>з учреждений, финансируемых непосредственно из районного бюджета проведена п</w:t>
      </w:r>
      <w:r w:rsidR="000314BB" w:rsidRPr="00593AC5">
        <w:rPr>
          <w:rFonts w:ascii="Times New Roman" w:hAnsi="Times New Roman" w:cs="Times New Roman"/>
          <w:sz w:val="27"/>
          <w:szCs w:val="27"/>
        </w:rPr>
        <w:t>роверка законного и эффективного (экономного и результативного) использования бюджетных средств, выделенных в 2020 году МКУ «Центр развития образования»</w:t>
      </w:r>
      <w:r w:rsidR="00F17C24" w:rsidRPr="00593AC5">
        <w:rPr>
          <w:rFonts w:ascii="Times New Roman" w:hAnsi="Times New Roman" w:cs="Times New Roman"/>
          <w:sz w:val="27"/>
          <w:szCs w:val="27"/>
        </w:rPr>
        <w:t>.</w:t>
      </w:r>
    </w:p>
    <w:p w:rsidR="00AB6BAA" w:rsidRPr="00593AC5" w:rsidRDefault="00E35C7E" w:rsidP="0023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 </w:t>
      </w:r>
      <w:r w:rsidR="00AB6BAA" w:rsidRPr="00593AC5">
        <w:rPr>
          <w:rFonts w:ascii="Times New Roman" w:hAnsi="Times New Roman" w:cs="Times New Roman"/>
          <w:sz w:val="27"/>
          <w:szCs w:val="27"/>
        </w:rPr>
        <w:t>Общий объем проверенных бюджетных средств составил 10 440,6 тыс.</w:t>
      </w:r>
      <w:r w:rsidRPr="00593AC5">
        <w:rPr>
          <w:rFonts w:ascii="Times New Roman" w:hAnsi="Times New Roman" w:cs="Times New Roman"/>
          <w:sz w:val="27"/>
          <w:szCs w:val="27"/>
        </w:rPr>
        <w:t xml:space="preserve"> </w:t>
      </w:r>
      <w:r w:rsidR="0049794C" w:rsidRPr="00593AC5">
        <w:rPr>
          <w:rFonts w:ascii="Times New Roman" w:hAnsi="Times New Roman" w:cs="Times New Roman"/>
          <w:sz w:val="27"/>
          <w:szCs w:val="27"/>
        </w:rPr>
        <w:t>рублей</w:t>
      </w:r>
      <w:r w:rsidR="00AB6BAA" w:rsidRPr="00593AC5">
        <w:rPr>
          <w:rFonts w:ascii="Times New Roman" w:hAnsi="Times New Roman" w:cs="Times New Roman"/>
          <w:sz w:val="27"/>
          <w:szCs w:val="27"/>
        </w:rPr>
        <w:t>.</w:t>
      </w:r>
    </w:p>
    <w:p w:rsidR="00A829D3" w:rsidRPr="00593AC5" w:rsidRDefault="00A829D3" w:rsidP="002338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hAnsi="Times New Roman"/>
          <w:bCs/>
          <w:sz w:val="27"/>
          <w:szCs w:val="27"/>
        </w:rPr>
        <w:t xml:space="preserve">В результате проведенного контрольного мероприятия выявлено нарушений всего на сумму </w:t>
      </w:r>
      <w:r w:rsidRPr="00593AC5">
        <w:rPr>
          <w:rFonts w:ascii="Times New Roman" w:hAnsi="Times New Roman"/>
          <w:bCs/>
          <w:color w:val="000000"/>
          <w:sz w:val="27"/>
          <w:szCs w:val="27"/>
        </w:rPr>
        <w:t>258,8</w:t>
      </w:r>
      <w:r w:rsidRPr="00593AC5">
        <w:rPr>
          <w:rFonts w:ascii="Times New Roman" w:hAnsi="Times New Roman"/>
          <w:bCs/>
          <w:sz w:val="27"/>
          <w:szCs w:val="27"/>
        </w:rPr>
        <w:t xml:space="preserve"> тыс. </w:t>
      </w:r>
      <w:r w:rsidR="0049794C" w:rsidRPr="00593AC5">
        <w:rPr>
          <w:rFonts w:ascii="Times New Roman" w:hAnsi="Times New Roman"/>
          <w:bCs/>
          <w:sz w:val="27"/>
          <w:szCs w:val="27"/>
        </w:rPr>
        <w:t>рублей</w:t>
      </w:r>
      <w:r w:rsidRPr="00593AC5">
        <w:rPr>
          <w:rFonts w:ascii="Times New Roman" w:hAnsi="Times New Roman"/>
          <w:bCs/>
          <w:sz w:val="27"/>
          <w:szCs w:val="27"/>
        </w:rPr>
        <w:t>, в том числе:</w:t>
      </w:r>
    </w:p>
    <w:p w:rsidR="00A829D3" w:rsidRPr="00593AC5" w:rsidRDefault="00A829D3" w:rsidP="002338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bCs/>
          <w:sz w:val="27"/>
          <w:szCs w:val="27"/>
        </w:rPr>
        <w:t xml:space="preserve">1. 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Объем средств, использованных с нарушением законодательства в сфере закупок на сумму 221,3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– сумма заключенных и исполненных со стороны поставщика контрактов, по которым допущено нарушение сроков оплаты; приемка поставленных товаров, несоответствующих условиям контракта; оплата по контрактам до осуществления приемки товара.</w:t>
      </w:r>
    </w:p>
    <w:p w:rsidR="00A829D3" w:rsidRPr="00593AC5" w:rsidRDefault="00A829D3" w:rsidP="0023385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ab/>
        <w:t>2. Выявлено нарушений</w:t>
      </w:r>
      <w:r w:rsidR="00E35C7E" w:rsidRPr="00593AC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иного законодательства (в сфере бухгалтерского учета) всего в сумме 37,5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– отсутствие первичных документов и документов, предусмотренных учетной политикой.</w:t>
      </w:r>
      <w:r w:rsidRPr="00593AC5">
        <w:rPr>
          <w:rFonts w:ascii="Times New Roman" w:hAnsi="Times New Roman"/>
          <w:color w:val="000000"/>
          <w:sz w:val="27"/>
          <w:szCs w:val="27"/>
        </w:rPr>
        <w:tab/>
      </w:r>
    </w:p>
    <w:p w:rsidR="004E6E9B" w:rsidRPr="00593AC5" w:rsidRDefault="00DF0EE6" w:rsidP="002338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ab/>
        <w:t xml:space="preserve">Кроме того, установлены нарушения, связанные с установлением оплаты труда в Учреждении (в положении об оплате труда не установлены фиксированные размеры оплаты труда, </w:t>
      </w:r>
      <w:r w:rsidR="009C030D" w:rsidRPr="00593AC5">
        <w:rPr>
          <w:rFonts w:ascii="Times New Roman" w:hAnsi="Times New Roman"/>
          <w:sz w:val="27"/>
          <w:szCs w:val="27"/>
        </w:rPr>
        <w:t>не определен перечень должностей работников Учреждения, относимых к основному персоналу для определения размера должностного оклада руководителя Учреждения, размеры повышающих коэффициентов по всем должностям в штатном расписании не соответствуют  Положению об оплате труда).</w:t>
      </w:r>
    </w:p>
    <w:p w:rsidR="004E6E9B" w:rsidRPr="00593AC5" w:rsidRDefault="00233853" w:rsidP="0023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Из поселений района в </w:t>
      </w:r>
      <w:r w:rsidR="00EC511F" w:rsidRPr="00593AC5">
        <w:rPr>
          <w:rFonts w:ascii="Times New Roman" w:hAnsi="Times New Roman" w:cs="Times New Roman"/>
          <w:sz w:val="27"/>
          <w:szCs w:val="27"/>
        </w:rPr>
        <w:t xml:space="preserve">2021 году проведена проверка в </w:t>
      </w:r>
      <w:proofErr w:type="spellStart"/>
      <w:r w:rsidRPr="00593AC5">
        <w:rPr>
          <w:rFonts w:ascii="Times New Roman" w:hAnsi="Times New Roman" w:cs="Times New Roman"/>
          <w:sz w:val="27"/>
          <w:szCs w:val="27"/>
        </w:rPr>
        <w:t>Голуметском</w:t>
      </w:r>
      <w:proofErr w:type="spellEnd"/>
      <w:r w:rsidRPr="00593AC5">
        <w:rPr>
          <w:rFonts w:ascii="Times New Roman" w:hAnsi="Times New Roman" w:cs="Times New Roman"/>
          <w:sz w:val="27"/>
          <w:szCs w:val="27"/>
        </w:rPr>
        <w:t xml:space="preserve"> мун</w:t>
      </w:r>
      <w:r w:rsidR="00EC511F" w:rsidRPr="00593AC5">
        <w:rPr>
          <w:rFonts w:ascii="Times New Roman" w:hAnsi="Times New Roman" w:cs="Times New Roman"/>
          <w:sz w:val="27"/>
          <w:szCs w:val="27"/>
        </w:rPr>
        <w:t>и</w:t>
      </w:r>
      <w:r w:rsidRPr="00593AC5">
        <w:rPr>
          <w:rFonts w:ascii="Times New Roman" w:hAnsi="Times New Roman" w:cs="Times New Roman"/>
          <w:sz w:val="27"/>
          <w:szCs w:val="27"/>
        </w:rPr>
        <w:t>ципальном образовани</w:t>
      </w:r>
      <w:r w:rsidR="00EC511F" w:rsidRPr="00593AC5">
        <w:rPr>
          <w:rFonts w:ascii="Times New Roman" w:hAnsi="Times New Roman" w:cs="Times New Roman"/>
          <w:sz w:val="27"/>
          <w:szCs w:val="27"/>
        </w:rPr>
        <w:t>и. В рамках контрольного мероприятия проверено</w:t>
      </w:r>
      <w:r w:rsidR="000314BB" w:rsidRPr="00593AC5">
        <w:rPr>
          <w:rFonts w:ascii="Times New Roman" w:hAnsi="Times New Roman" w:cs="Times New Roman"/>
          <w:sz w:val="27"/>
          <w:szCs w:val="27"/>
        </w:rPr>
        <w:t xml:space="preserve"> соблюдени</w:t>
      </w:r>
      <w:r w:rsidR="00EC511F" w:rsidRPr="00593AC5">
        <w:rPr>
          <w:rFonts w:ascii="Times New Roman" w:hAnsi="Times New Roman" w:cs="Times New Roman"/>
          <w:sz w:val="27"/>
          <w:szCs w:val="27"/>
        </w:rPr>
        <w:t>е</w:t>
      </w:r>
      <w:r w:rsidR="000314BB" w:rsidRPr="00593AC5">
        <w:rPr>
          <w:rFonts w:ascii="Times New Roman" w:hAnsi="Times New Roman" w:cs="Times New Roman"/>
          <w:sz w:val="27"/>
          <w:szCs w:val="27"/>
        </w:rPr>
        <w:t xml:space="preserve"> требований законодательства РФ и Иркутской области при </w:t>
      </w:r>
      <w:r w:rsidR="000314BB" w:rsidRPr="00593AC5">
        <w:rPr>
          <w:rFonts w:ascii="Times New Roman" w:hAnsi="Times New Roman" w:cs="Times New Roman"/>
          <w:sz w:val="27"/>
          <w:szCs w:val="27"/>
        </w:rPr>
        <w:lastRenderedPageBreak/>
        <w:t>организации бюджетного процесса, целевого и эффективного использования в 2020 году</w:t>
      </w:r>
      <w:r w:rsidR="00E1489D">
        <w:rPr>
          <w:rFonts w:ascii="Times New Roman" w:hAnsi="Times New Roman" w:cs="Times New Roman"/>
          <w:sz w:val="27"/>
          <w:szCs w:val="27"/>
        </w:rPr>
        <w:t xml:space="preserve"> бюджетных средств</w:t>
      </w:r>
      <w:r w:rsidRPr="00593AC5">
        <w:rPr>
          <w:rFonts w:ascii="Times New Roman" w:hAnsi="Times New Roman" w:cs="Times New Roman"/>
          <w:sz w:val="27"/>
          <w:szCs w:val="27"/>
        </w:rPr>
        <w:t xml:space="preserve">. </w:t>
      </w:r>
      <w:r w:rsidR="000314BB" w:rsidRPr="00593AC5">
        <w:rPr>
          <w:rFonts w:ascii="Times New Roman" w:hAnsi="Times New Roman" w:cs="Times New Roman"/>
          <w:sz w:val="27"/>
          <w:szCs w:val="27"/>
        </w:rPr>
        <w:t xml:space="preserve"> </w:t>
      </w:r>
      <w:r w:rsidRPr="00593AC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6E9B" w:rsidRPr="00593AC5" w:rsidRDefault="004E6E9B" w:rsidP="0023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Объекты контрольного мероприятия: </w:t>
      </w:r>
    </w:p>
    <w:p w:rsidR="004E6E9B" w:rsidRPr="00593AC5" w:rsidRDefault="004E6E9B" w:rsidP="0023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- Администрация </w:t>
      </w:r>
      <w:proofErr w:type="spellStart"/>
      <w:r w:rsidRPr="00593AC5">
        <w:rPr>
          <w:rFonts w:ascii="Times New Roman" w:hAnsi="Times New Roman" w:cs="Times New Roman"/>
          <w:sz w:val="27"/>
          <w:szCs w:val="27"/>
        </w:rPr>
        <w:t>Голуметского</w:t>
      </w:r>
      <w:proofErr w:type="spellEnd"/>
      <w:r w:rsidRPr="00593AC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образования;</w:t>
      </w:r>
    </w:p>
    <w:p w:rsidR="004E6E9B" w:rsidRPr="00593AC5" w:rsidRDefault="004E6E9B" w:rsidP="002338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- </w:t>
      </w:r>
      <w:r w:rsidRPr="00593AC5">
        <w:rPr>
          <w:rFonts w:ascii="Times New Roman" w:hAnsi="Times New Roman"/>
          <w:bCs/>
          <w:sz w:val="27"/>
          <w:szCs w:val="27"/>
        </w:rPr>
        <w:t xml:space="preserve">МКУ «КДЦ </w:t>
      </w:r>
      <w:proofErr w:type="spellStart"/>
      <w:r w:rsidRPr="00593AC5">
        <w:rPr>
          <w:rFonts w:ascii="Times New Roman" w:hAnsi="Times New Roman"/>
          <w:bCs/>
          <w:sz w:val="27"/>
          <w:szCs w:val="27"/>
        </w:rPr>
        <w:t>Голуметский</w:t>
      </w:r>
      <w:proofErr w:type="spellEnd"/>
      <w:r w:rsidRPr="00593AC5">
        <w:rPr>
          <w:rFonts w:ascii="Times New Roman" w:hAnsi="Times New Roman"/>
          <w:bCs/>
          <w:sz w:val="27"/>
          <w:szCs w:val="27"/>
        </w:rPr>
        <w:t xml:space="preserve"> СДК».</w:t>
      </w:r>
    </w:p>
    <w:p w:rsidR="004E6E9B" w:rsidRPr="00593AC5" w:rsidRDefault="004E6E9B" w:rsidP="0023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проверенных средств составил 23 606,0 тыс. </w:t>
      </w:r>
      <w:r w:rsidR="0049794C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829D3" w:rsidRPr="00593AC5" w:rsidRDefault="00A829D3" w:rsidP="002338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593AC5">
        <w:rPr>
          <w:rFonts w:ascii="Times New Roman" w:hAnsi="Times New Roman"/>
          <w:bCs/>
          <w:sz w:val="27"/>
          <w:szCs w:val="27"/>
        </w:rPr>
        <w:t xml:space="preserve">В результате проведенного контрольного мероприятия выявлено нарушений всего на сумму </w:t>
      </w:r>
      <w:r w:rsidRPr="00593AC5">
        <w:rPr>
          <w:rFonts w:ascii="Times New Roman" w:hAnsi="Times New Roman"/>
          <w:bCs/>
          <w:color w:val="000000"/>
          <w:sz w:val="27"/>
          <w:szCs w:val="27"/>
        </w:rPr>
        <w:t>4 454,2</w:t>
      </w:r>
      <w:r w:rsidRPr="00593AC5">
        <w:rPr>
          <w:rFonts w:ascii="Times New Roman" w:hAnsi="Times New Roman"/>
          <w:bCs/>
          <w:sz w:val="27"/>
          <w:szCs w:val="27"/>
        </w:rPr>
        <w:t xml:space="preserve"> тыс. </w:t>
      </w:r>
      <w:r w:rsidR="0049794C" w:rsidRPr="00593AC5">
        <w:rPr>
          <w:rFonts w:ascii="Times New Roman" w:hAnsi="Times New Roman"/>
          <w:bCs/>
          <w:sz w:val="27"/>
          <w:szCs w:val="27"/>
        </w:rPr>
        <w:t>рублей</w:t>
      </w:r>
      <w:r w:rsidRPr="00593AC5">
        <w:rPr>
          <w:rFonts w:ascii="Times New Roman" w:hAnsi="Times New Roman"/>
          <w:bCs/>
          <w:sz w:val="27"/>
          <w:szCs w:val="27"/>
        </w:rPr>
        <w:t>, в том числе:</w:t>
      </w:r>
    </w:p>
    <w:p w:rsidR="00A829D3" w:rsidRPr="00593AC5" w:rsidRDefault="00A829D3" w:rsidP="002338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593AC5">
        <w:rPr>
          <w:rFonts w:ascii="Times New Roman" w:hAnsi="Times New Roman"/>
          <w:bCs/>
          <w:sz w:val="27"/>
          <w:szCs w:val="27"/>
        </w:rPr>
        <w:t xml:space="preserve">1. Объем средств, </w:t>
      </w:r>
      <w:r w:rsidRPr="00593AC5">
        <w:rPr>
          <w:rFonts w:ascii="Times New Roman" w:hAnsi="Times New Roman"/>
          <w:bCs/>
          <w:color w:val="000000"/>
          <w:sz w:val="27"/>
          <w:szCs w:val="27"/>
        </w:rPr>
        <w:t xml:space="preserve">использованных с нарушением бюджетного законодательства РФ на сумму 790,9 тыс. </w:t>
      </w:r>
      <w:r w:rsidR="0049794C" w:rsidRPr="00593AC5">
        <w:rPr>
          <w:rFonts w:ascii="Times New Roman" w:hAnsi="Times New Roman"/>
          <w:bCs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bCs/>
          <w:color w:val="000000"/>
          <w:sz w:val="27"/>
          <w:szCs w:val="27"/>
        </w:rPr>
        <w:t>, из них:</w:t>
      </w:r>
    </w:p>
    <w:p w:rsidR="00A829D3" w:rsidRPr="00593AC5" w:rsidRDefault="00A829D3" w:rsidP="0023385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b/>
          <w:bCs/>
          <w:color w:val="000000"/>
          <w:sz w:val="27"/>
          <w:szCs w:val="27"/>
        </w:rPr>
        <w:tab/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- нарушение принципа эффективности использования бюджетных средств (статья 34 БК РФ) – 9,0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(не реализовано мероприятие в рамках муниципальной программы);</w:t>
      </w:r>
    </w:p>
    <w:p w:rsidR="00A829D3" w:rsidRPr="00593AC5" w:rsidRDefault="00A829D3" w:rsidP="0023385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ab/>
        <w:t xml:space="preserve">- нарушение принципа достоверности бюджета (статья 37 БК РФ) – 781,9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(значительное отклонение фактических расходов на реализацию мероприятий муниципальной программы от плановых назначений).</w:t>
      </w:r>
    </w:p>
    <w:p w:rsidR="00A829D3" w:rsidRPr="00593AC5" w:rsidRDefault="00A829D3" w:rsidP="0023385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ab/>
        <w:t xml:space="preserve">2. Объем средств, использованных с нарушением законодательства в сфере закупок на сумму 3 313,1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– сумма заключенных и исполненных со стороны поставщика контрактов, по которым допущено нарушение сроков оплаты.</w:t>
      </w:r>
    </w:p>
    <w:p w:rsidR="00A829D3" w:rsidRPr="00593AC5" w:rsidRDefault="00A829D3" w:rsidP="0023385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ab/>
        <w:t xml:space="preserve">3. Выявлено нарушений иного законодательства всего в сумме 350,2 тыс. </w:t>
      </w:r>
      <w:r w:rsidR="0049794C" w:rsidRPr="00593AC5">
        <w:rPr>
          <w:rFonts w:ascii="Times New Roman" w:hAnsi="Times New Roman"/>
          <w:color w:val="000000"/>
          <w:sz w:val="27"/>
          <w:szCs w:val="27"/>
        </w:rPr>
        <w:t>рублей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– начисление заработной платы в отступление от норм, установленных нормативными правовыми актами.</w:t>
      </w:r>
    </w:p>
    <w:p w:rsidR="00DF54BF" w:rsidRPr="00593AC5" w:rsidRDefault="00DF54BF" w:rsidP="00DF5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593AC5">
        <w:rPr>
          <w:rFonts w:ascii="Times New Roman" w:hAnsi="Times New Roman"/>
          <w:color w:val="000000"/>
          <w:sz w:val="27"/>
          <w:szCs w:val="27"/>
        </w:rPr>
        <w:t xml:space="preserve">По результатам проверки </w:t>
      </w:r>
      <w:r w:rsidR="00140384" w:rsidRPr="00593AC5">
        <w:rPr>
          <w:rFonts w:ascii="Times New Roman" w:hAnsi="Times New Roman"/>
          <w:color w:val="000000"/>
          <w:sz w:val="27"/>
          <w:szCs w:val="27"/>
        </w:rPr>
        <w:t xml:space="preserve">главе поселения </w:t>
      </w:r>
      <w:r w:rsidRPr="00593AC5">
        <w:rPr>
          <w:rFonts w:ascii="Times New Roman" w:hAnsi="Times New Roman"/>
          <w:color w:val="000000"/>
          <w:sz w:val="27"/>
          <w:szCs w:val="27"/>
        </w:rPr>
        <w:t>направлен</w:t>
      </w:r>
      <w:r w:rsidR="00140384" w:rsidRPr="00593AC5">
        <w:rPr>
          <w:rFonts w:ascii="Times New Roman" w:hAnsi="Times New Roman"/>
          <w:color w:val="000000"/>
          <w:sz w:val="27"/>
          <w:szCs w:val="27"/>
        </w:rPr>
        <w:t>о</w:t>
      </w:r>
      <w:r w:rsidRPr="00593AC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593AC5">
        <w:rPr>
          <w:rFonts w:ascii="Times New Roman" w:hAnsi="Times New Roman"/>
          <w:color w:val="000000"/>
          <w:sz w:val="27"/>
          <w:szCs w:val="27"/>
        </w:rPr>
        <w:t xml:space="preserve">представление  </w:t>
      </w:r>
      <w:r w:rsidR="00140384" w:rsidRPr="00593AC5">
        <w:rPr>
          <w:rFonts w:ascii="Times New Roman" w:hAnsi="Times New Roman"/>
          <w:color w:val="000000"/>
          <w:sz w:val="27"/>
          <w:szCs w:val="27"/>
        </w:rPr>
        <w:t>для</w:t>
      </w:r>
      <w:proofErr w:type="gramEnd"/>
      <w:r w:rsidR="00140384" w:rsidRPr="00593AC5">
        <w:rPr>
          <w:rFonts w:ascii="Times New Roman" w:hAnsi="Times New Roman"/>
          <w:color w:val="000000"/>
          <w:sz w:val="27"/>
          <w:szCs w:val="27"/>
        </w:rPr>
        <w:t xml:space="preserve"> принятия мер по устранению отмеченных в ходе контрольного мероприятия нарушений и недостатков, а так же исключению подобных фактов в дальнейшем.</w:t>
      </w:r>
    </w:p>
    <w:p w:rsidR="003133CF" w:rsidRPr="00593AC5" w:rsidRDefault="00131CF6" w:rsidP="00233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В </w:t>
      </w:r>
      <w:r w:rsidR="003133CF" w:rsidRPr="00593AC5">
        <w:rPr>
          <w:rFonts w:ascii="Times New Roman" w:hAnsi="Times New Roman" w:cs="Times New Roman"/>
          <w:sz w:val="27"/>
          <w:szCs w:val="27"/>
        </w:rPr>
        <w:t>рамках соглашения о взаимодействии с прокуратурой города Черемхово КСП участвовала в проверке законности использования финансовых ресурсов ООО «ЖКХ». Проверяемый период деятельности – 2020 год и истекший период 2021 года, по результатам составлена информационно-аналитическая справка.</w:t>
      </w:r>
    </w:p>
    <w:p w:rsidR="003133CF" w:rsidRPr="00593AC5" w:rsidRDefault="003133CF" w:rsidP="00233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54C5" w:rsidRPr="00593AC5" w:rsidRDefault="009D54C5" w:rsidP="009D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</w:t>
      </w:r>
      <w:r w:rsidRPr="00593A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593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 Экспертно-аналитическая деятельность</w:t>
      </w:r>
    </w:p>
    <w:p w:rsidR="009D54C5" w:rsidRPr="00593AC5" w:rsidRDefault="009D54C5" w:rsidP="009D54C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 формой осуществления внешнего муниципального финансового контроля являются экспертно-аналитические мероприятия, в ходе которых Контрольно-счетная палата исследует проблемы организации бюджетного процесса, анализирует исполнение порядка формирования, управления и распоряжения средствами местного бюджета, муниципальной собственностью и иными ресурсами.</w:t>
      </w:r>
    </w:p>
    <w:p w:rsidR="00727F76" w:rsidRPr="00593AC5" w:rsidRDefault="009D54C5" w:rsidP="009D5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целях обеспечения единой системы финансового контроля, предусмотренного бюджетным законодательством, Контрольно-счетной палатой в 2021 году проведено 6 экспертно-аналитических мероприятия, по которым подготовлен</w:t>
      </w:r>
      <w:r w:rsidR="00A41852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</w:t>
      </w:r>
      <w:r w:rsidR="000D5C76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34</w:t>
      </w:r>
      <w:r w:rsidR="00A41852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заключения.</w:t>
      </w:r>
    </w:p>
    <w:p w:rsidR="009D54C5" w:rsidRPr="00593AC5" w:rsidRDefault="009D54C5" w:rsidP="009D5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В 2021 году КСП Черемховского района участвовала в двух </w:t>
      </w:r>
      <w:r w:rsidR="00AF469F" w:rsidRPr="00593AC5">
        <w:rPr>
          <w:rFonts w:ascii="Times New Roman" w:hAnsi="Times New Roman" w:cs="Times New Roman"/>
          <w:sz w:val="27"/>
          <w:szCs w:val="27"/>
        </w:rPr>
        <w:t xml:space="preserve">совместных </w:t>
      </w:r>
      <w:proofErr w:type="gramStart"/>
      <w:r w:rsidR="00AF469F" w:rsidRPr="00593AC5">
        <w:rPr>
          <w:rFonts w:ascii="Times New Roman" w:hAnsi="Times New Roman" w:cs="Times New Roman"/>
          <w:sz w:val="27"/>
          <w:szCs w:val="27"/>
        </w:rPr>
        <w:t xml:space="preserve">с </w:t>
      </w:r>
      <w:r w:rsidRPr="00593AC5">
        <w:rPr>
          <w:rFonts w:ascii="Times New Roman" w:hAnsi="Times New Roman" w:cs="Times New Roman"/>
          <w:sz w:val="27"/>
          <w:szCs w:val="27"/>
        </w:rPr>
        <w:t xml:space="preserve"> </w:t>
      </w:r>
      <w:r w:rsidR="00AF469F" w:rsidRPr="00593AC5">
        <w:rPr>
          <w:rFonts w:ascii="Times New Roman" w:hAnsi="Times New Roman" w:cs="Times New Roman"/>
          <w:sz w:val="27"/>
          <w:szCs w:val="27"/>
        </w:rPr>
        <w:t>КСП</w:t>
      </w:r>
      <w:proofErr w:type="gramEnd"/>
      <w:r w:rsidR="00AF469F" w:rsidRPr="00593AC5">
        <w:rPr>
          <w:rFonts w:ascii="Times New Roman" w:hAnsi="Times New Roman" w:cs="Times New Roman"/>
          <w:sz w:val="27"/>
          <w:szCs w:val="27"/>
        </w:rPr>
        <w:t xml:space="preserve"> Иркутской области</w:t>
      </w:r>
      <w:r w:rsidR="00AF469F" w:rsidRPr="00593AC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экспертно-аналитических</w:t>
      </w:r>
      <w:r w:rsidRPr="00593AC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93AC5">
        <w:rPr>
          <w:rFonts w:ascii="Times New Roman" w:hAnsi="Times New Roman" w:cs="Times New Roman"/>
          <w:sz w:val="27"/>
          <w:szCs w:val="27"/>
        </w:rPr>
        <w:t xml:space="preserve">мероприятиях:  </w:t>
      </w:r>
    </w:p>
    <w:p w:rsidR="009D54C5" w:rsidRPr="00593AC5" w:rsidRDefault="009D54C5" w:rsidP="000D5C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муниципального района, а также заработной платы с начислениями </w:t>
      </w:r>
      <w:r w:rsidRPr="00593AC5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 нее техническому и вспомогательному персоналу органов местного самоуправления муниципального района, работникам учреждений, находящихся в ведении органов местного самоуправления муниципального района</w:t>
      </w:r>
      <w:r w:rsidRPr="00593AC5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Объекты проверки: Администрация ЧРМО, Дума ЧРМО, Отдел по культуре и библиотечному обслуживанию администрации ЧРМО, Отдел образования администрации ЧРМО, Финансовое управление администрации ЧРМО, Комитет по управлению муниципальным имуществом ЧРМО, Управление жилищно-коммунального хозяйства, строительства, транспорта, связи и экологии администрации ЧРМО, Контрольно-счетная палата ЧРМО, Муниципальное казенное учреждение дополнительного образования «Детско-юношеская спортивная школа» рабочего поселка Михайловка, Муниципальное казенное учреждение дополнительного образования «Центр внешкольной работы» рабочего поселка Михайловка, Муниципальное казенное учреждение «Центр развития образования», Муниципальное казенное учреждение культуры «</w:t>
      </w:r>
      <w:proofErr w:type="spell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Межпоселенческий</w:t>
      </w:r>
      <w:proofErr w:type="spellEnd"/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 культурный центр администрации Черемховского районного муниципального образования», Муниципальное казенное учреждение культуры «Историко-краеведческий музей Черемховского района», Муниципальное казенное учреждение культуры «</w:t>
      </w:r>
      <w:proofErr w:type="spell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Межпоселенческая</w:t>
      </w:r>
      <w:proofErr w:type="spellEnd"/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 библиотека Черемховского района», Муниципальное казенное учреждение дополнительного образования «Детская школа искусств поселка Михайловка», Муниципальное казенное учреждение «Централизованная бухгалтерия Черемховского районного муниципального образования», Муниципальное казенное учреждение «Единая дежурно-диспетчерская служба Черемховского района», Муниципальное бюджетное учреждение «Автоцентр». 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Проверяемый период: 2019-2020 годы.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Общий объем проверенных бюджетных средств составил 149 683,9 тыс. рублей, в том числе за 2019 год – 57 344,8 </w:t>
      </w:r>
      <w:proofErr w:type="spellStart"/>
      <w:proofErr w:type="gram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тыс.рублей</w:t>
      </w:r>
      <w:proofErr w:type="spellEnd"/>
      <w:proofErr w:type="gramEnd"/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, за 2020 год – 92 339,1 </w:t>
      </w:r>
      <w:proofErr w:type="spell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тыс.рублей</w:t>
      </w:r>
      <w:proofErr w:type="spellEnd"/>
      <w:r w:rsidRPr="00593AC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Выявлены нарушения на общую сумму 30,9 тыс. рублей, в том числе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-  нарушение </w:t>
      </w:r>
      <w:r w:rsidRPr="00593AC5">
        <w:rPr>
          <w:rFonts w:ascii="Times New Roman" w:hAnsi="Times New Roman" w:cs="Times New Roman"/>
          <w:sz w:val="27"/>
          <w:szCs w:val="27"/>
        </w:rPr>
        <w:t>статьи 5.3. Закона Иркутской области от 15</w:t>
      </w:r>
      <w:r w:rsidR="00DE2E16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593AC5">
        <w:rPr>
          <w:rFonts w:ascii="Times New Roman" w:hAnsi="Times New Roman" w:cs="Times New Roman"/>
          <w:sz w:val="27"/>
          <w:szCs w:val="27"/>
        </w:rPr>
        <w:t>2007</w:t>
      </w:r>
      <w:r w:rsidR="00DE2E1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593AC5">
        <w:rPr>
          <w:rFonts w:ascii="Times New Roman" w:hAnsi="Times New Roman" w:cs="Times New Roman"/>
          <w:sz w:val="27"/>
          <w:szCs w:val="27"/>
        </w:rPr>
        <w:t xml:space="preserve"> № 88-ОЗ «Об отдельных вопросах муниципальной службы в Иркутской области» выявлено не соблюдение сроков прохождения муниципальной службы в классных чинах, в 2020 году муниципальному служащему необоснованно начислена и выплачена надбавка к должностному окладу за классный чин в сумме 4 тыс. рублей;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>- нарушение статьи 2 Закона Иркутской области от 15</w:t>
      </w:r>
      <w:r w:rsidR="00DE2E16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593AC5">
        <w:rPr>
          <w:rFonts w:ascii="Times New Roman" w:hAnsi="Times New Roman" w:cs="Times New Roman"/>
          <w:sz w:val="27"/>
          <w:szCs w:val="27"/>
        </w:rPr>
        <w:t>2007</w:t>
      </w:r>
      <w:r w:rsidR="00DE2E1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593AC5">
        <w:rPr>
          <w:rFonts w:ascii="Times New Roman" w:hAnsi="Times New Roman" w:cs="Times New Roman"/>
          <w:sz w:val="27"/>
          <w:szCs w:val="27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из-за неверного отнесение должности муниципальной службы к группе должностей, необоснованно начислено денежное содержание  в сумме 20,2 рублей.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>- нарушение пункта 16 Положения об особенностях порядка исчисления средней заработной платы, утвержденного постановлением Правительства РФ от 24</w:t>
      </w:r>
      <w:r w:rsidR="00DE2E16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593AC5">
        <w:rPr>
          <w:rFonts w:ascii="Times New Roman" w:hAnsi="Times New Roman" w:cs="Times New Roman"/>
          <w:sz w:val="27"/>
          <w:szCs w:val="27"/>
        </w:rPr>
        <w:t>2007</w:t>
      </w:r>
      <w:r w:rsidR="00DE2E1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593AC5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Pr="00593AC5">
        <w:rPr>
          <w:rFonts w:ascii="Times New Roman" w:hAnsi="Times New Roman" w:cs="Times New Roman"/>
          <w:sz w:val="27"/>
          <w:szCs w:val="27"/>
        </w:rPr>
        <w:t>922  на</w:t>
      </w:r>
      <w:proofErr w:type="gramEnd"/>
      <w:r w:rsidRPr="00593AC5">
        <w:rPr>
          <w:rFonts w:ascii="Times New Roman" w:hAnsi="Times New Roman" w:cs="Times New Roman"/>
          <w:sz w:val="27"/>
          <w:szCs w:val="27"/>
        </w:rPr>
        <w:t xml:space="preserve"> сумму 6,7 тыс. рублей.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>Кроме того, при анализе нормативных документов, регламентирующих оплату труда работников муниципальных учреждений Черемховского района выявлены несоответствия в части установления окладов работникам.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проверки органам местного самоуправления направлены представления для устранения нарушений. 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sz w:val="27"/>
          <w:szCs w:val="27"/>
        </w:rPr>
        <w:t xml:space="preserve"> 2. </w:t>
      </w: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района. 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Объект проверки: Финансовое управление администрации Черемховского районного муниципального образования.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Проверяемый период: 2020 - 2021 годы.</w:t>
      </w:r>
    </w:p>
    <w:p w:rsidR="009D54C5" w:rsidRPr="00593AC5" w:rsidRDefault="009D54C5" w:rsidP="009D5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>Общий объем проверенных бюджетных средств составил 195 640,2 тыс. рублей, в том числе за 2020 год – 99 702,7 тыс.</w:t>
      </w:r>
      <w:r w:rsidR="00E1489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рублей, за 2021 год – 95 937,5 </w:t>
      </w:r>
      <w:proofErr w:type="spellStart"/>
      <w:proofErr w:type="gram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тыс.рублей</w:t>
      </w:r>
      <w:proofErr w:type="spellEnd"/>
      <w:proofErr w:type="gramEnd"/>
      <w:r w:rsidRPr="00593AC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D54C5" w:rsidRPr="00593AC5" w:rsidRDefault="009D54C5" w:rsidP="00727F7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В ходе проверки были проанализированы расчеты по определению уровня бюджетной обеспеченности поселений района и объема дотации на выравнивание бюджетной обеспеченности поселений. Нарушений не выявлено. Установлено, что объем дотаций поселениям </w:t>
      </w:r>
      <w:proofErr w:type="gram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рассчитан</w:t>
      </w:r>
      <w:proofErr w:type="gramEnd"/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 верно. При этом методика оценки расходов, утвержденная решением о бюджете </w:t>
      </w:r>
      <w:proofErr w:type="gramStart"/>
      <w:r w:rsidRPr="00593AC5">
        <w:rPr>
          <w:rFonts w:ascii="Times New Roman" w:hAnsi="Times New Roman" w:cs="Times New Roman"/>
          <w:color w:val="000000"/>
          <w:sz w:val="27"/>
          <w:szCs w:val="27"/>
        </w:rPr>
        <w:t>не достаточно</w:t>
      </w:r>
      <w:proofErr w:type="gramEnd"/>
      <w:r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 раскрывает порядок расчета коэффициента расходов на содержание органов местного самоуправления, используемого для распределения дотации.</w:t>
      </w:r>
      <w:r w:rsidR="00727F76" w:rsidRPr="00593A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93AC5">
        <w:rPr>
          <w:rFonts w:ascii="Times New Roman" w:hAnsi="Times New Roman"/>
          <w:sz w:val="27"/>
          <w:szCs w:val="27"/>
        </w:rPr>
        <w:t xml:space="preserve">Финансовому управлению АЧРМО рекомендовано в методике оценки расходов, отражать все расчеты, используемые для оценки расходов поселений по вопросам местного значения. </w:t>
      </w:r>
    </w:p>
    <w:p w:rsidR="00727F76" w:rsidRPr="00593AC5" w:rsidRDefault="00727F76" w:rsidP="00727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Calibri" w:hAnsi="Times New Roman" w:cs="Times New Roman"/>
          <w:sz w:val="27"/>
          <w:szCs w:val="27"/>
          <w:lang w:eastAsia="ru-RU"/>
        </w:rPr>
        <w:t>Экспертно-аналитические мероприятия в 2021 году были направлены на обеспечение единой системы контроля, реализуемого на трех последовательных стадиях: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Предварительный финансовый контроль осуществлялся в ходе рассмотрения и утверждения проектов решений о бюджете на очередной финансовый год и плановый период в виде подготовки заключений по проведенным экспертизам проекта бюджета и внесений в него изменений, правовых актов по утверждению муниципальных программ и внесению изменений в действующие муниципальные программы. 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рамках мероприятий предварительного контроля проведен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экспертиз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проектов муниципальных правовых актов «О местном бюджете на 2022 год и плановый период 2023-2024 годов»</w:t>
      </w:r>
      <w:r w:rsidR="00A41852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района и 18 поселений района.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Экспертиза проект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бюджет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 района и поселений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проводилась с целью оценки 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бюджетов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предмет соответствия основным направлениям бюджетной и налоговой политики 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каждого муниципального образования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прогнозу социально-экономического развития, иным 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имеющимся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программным документам, являющим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ся основой составления проект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бюджета в соответствии с Бюджетным кодексом Российской Федерации, а также определения соблюдения бюджетного законодательства при разработке бюджет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анализа объективности планирования доходов и расходов бюджет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 муниципальных образований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В ходе проведения экспертизы проект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бюджет</w:t>
      </w:r>
      <w:r w:rsidR="003B6944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ов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проверено соответствие основных параметров и документов, предоставляемых одновременно с ним, требованиям бюджетного законодательства, а также в части полноты отраженных в проекте бюджета показателей. 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п.3 ст. 184.1 Бюджетного кодекса в проект</w:t>
      </w:r>
      <w:r w:rsidR="003B694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бюджета </w:t>
      </w:r>
      <w:r w:rsidR="003B694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распределение бюджетных ассигнований осуществлено по разделам, подразделам,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целевым статьям (муниципальным программам и внепрограммным направлениям деятельности), группам и подгруппам видов расходов.</w:t>
      </w:r>
    </w:p>
    <w:p w:rsidR="003515B4" w:rsidRPr="00593AC5" w:rsidRDefault="003515B4" w:rsidP="0035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предварительного финансового контроля проводилась экспертиза проектов</w:t>
      </w:r>
      <w:r w:rsidR="00E14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программ, а также изменений в действовавшие в 2021 году муниципальные программы.</w:t>
      </w:r>
    </w:p>
    <w:p w:rsidR="003515B4" w:rsidRPr="00593AC5" w:rsidRDefault="003515B4" w:rsidP="0035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в 2021 году Контрольно-счётной палатой подготовлено 10 заключений на проекты постановлений администрации района о внесении изменений в муниципальные программы. Корректировка муниципальных программ осуществлена в связи с изменением периода реализации программных мероприятий до 2025 года и соответственно увеличения объема финансирования.</w:t>
      </w:r>
    </w:p>
    <w:p w:rsidR="003515B4" w:rsidRPr="00593AC5" w:rsidRDefault="003515B4" w:rsidP="0035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Положением о Контрольно-счетной палате заключения по итогам финансово-экономической экспертизы направлялись субъектам правотворческой инициативы.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предложения, внесенные Контрольно-счетной палатой по результатам проведенных экспертиз, учтены при принятии указанных муниципальных правовых актов.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текущего контроля осуществлялась подготовка </w:t>
      </w:r>
      <w:r w:rsidR="003515B4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аключений об исполнении бюджета за 1 квартал, 1 полугодие и 9 месяцев 2021 года на основании отчетов об исполнении местного бюджета.   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Заключения КСП содержали оценку доходных и расходных статей бюджета по объему и структуре, а также анализ выявленных отклонений. Аналитические заключения о ходе исполнения районного бюджета   направлены мэру района и в Думу. </w:t>
      </w:r>
    </w:p>
    <w:p w:rsidR="00727F76" w:rsidRPr="00593AC5" w:rsidRDefault="00727F76" w:rsidP="0072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</w:p>
    <w:p w:rsidR="005F2F13" w:rsidRPr="00593AC5" w:rsidRDefault="005F2F13" w:rsidP="005F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593A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Вопросы внутренней организации деятельности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Параллельно с основными мероприятиями внешнего финансового контроля (экспертно-аналитическими и контрольными) Контрольно-счетной палатой планировались и проводились организационно-методические мероприятия. 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внесением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№ 6-ФЗ, решением Думы от </w:t>
      </w:r>
      <w:r w:rsidR="00754A49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  <w:r w:rsidR="00DE2E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октября </w:t>
      </w:r>
      <w:r w:rsidR="00754A49"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2021 г</w:t>
      </w:r>
      <w:r w:rsidR="00DE2E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ода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утверждено новое Положение о Контрольно-счетной палате 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Черемховского районного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образования, действия которого вступили в силу с 1 октября 2021 года.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изменения потребовали обязательного приведения муниципальных правовых актов и актов КСП в соответствие с ним.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с 1 октября 2021 года изменен правовой статус 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КСП. Должност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председателя отнесен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муниципальным должностям.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Распоряжениями председателя КСП внесены изменения в Регламент КСП 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Правила внутреннего трудового распорядка.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требований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32D2D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онтрольно-счетная палата должна руководствоваться действующим законодательством и стандартами внешнего муниципального финансового контроля. </w:t>
      </w:r>
    </w:p>
    <w:p w:rsidR="005F2F13" w:rsidRPr="00593AC5" w:rsidRDefault="005F2F13" w:rsidP="005F2F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деятельность КСП строится на основании положений 1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стандартов. В 2021 году проделана работа по актуализации стандартов внешнего муниципального финансового контроля.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Контрольно-счетная палата по-прежнему продолжает уделять укреплению взаимодействия с Думой и Администрацией </w:t>
      </w:r>
      <w:r w:rsidR="00754A49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сфере, повышения качества управления муниципальным имуществом. </w:t>
      </w:r>
    </w:p>
    <w:p w:rsidR="005F2F13" w:rsidRPr="00593AC5" w:rsidRDefault="00754A49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2F13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В отчетном периоде продолжил</w:t>
      </w:r>
      <w:r w:rsidR="009C1B8C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о</w:t>
      </w:r>
      <w:r w:rsidR="005F2F13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сь взаимодействие Контрольно-счетной палаты </w:t>
      </w: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КСП Иркутской области. </w:t>
      </w:r>
      <w:r w:rsidR="005F2F13"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года, на поступающие запросы, в КСП области направлялась соответствующая информация и предложения, а также отчеты о результатах работы Контрольно-счетной палаты и информация о взаимодействии с надзорными и правоохранительными органами.</w:t>
      </w:r>
    </w:p>
    <w:p w:rsidR="005F2F13" w:rsidRPr="00593AC5" w:rsidRDefault="005F2F13" w:rsidP="005F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составе членов Совета Контрольно-счетных органов Иркутской области (Совет КСО ИР), КСП </w:t>
      </w:r>
      <w:r w:rsidRPr="00593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принимала участие в видеоконференциях, организованных КСП Иркутской области (на базе ресурса Портала КСО) для всех контрольно-счетных органов муниципальных образований Иркутской области, в ходе которых обсуждались актуальные вопросы осуществления внешнего финансового контроля.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Объем документооборота за отчетный период составил 212 документов из них 132 входящих, 80 исходящих. </w:t>
      </w:r>
    </w:p>
    <w:p w:rsidR="005F2F13" w:rsidRPr="00593AC5" w:rsidRDefault="005F2F13" w:rsidP="005F2F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2F13" w:rsidRPr="00593AC5" w:rsidRDefault="005F2F13" w:rsidP="003133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3AC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</w:t>
      </w:r>
      <w:r w:rsidRPr="00593A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Основные выводы, предложения и задачи на перспективу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План работы отчетного года выполнен в полном объеме и установленные сроки.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При пл</w:t>
      </w:r>
      <w:r w:rsidRPr="00593AC5">
        <w:rPr>
          <w:rFonts w:ascii="Times New Roman" w:eastAsia="Calibri" w:hAnsi="Times New Roman" w:cs="Times New Roman"/>
          <w:iCs/>
          <w:color w:val="000000"/>
          <w:sz w:val="27"/>
          <w:szCs w:val="27"/>
        </w:rPr>
        <w:t xml:space="preserve">анировании деятельности Контрольно-счетной палаты на 2022 год учтены </w:t>
      </w: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предложения администрации и Думы </w:t>
      </w:r>
      <w:r w:rsidR="003133CF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района</w:t>
      </w: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План работы Контрольно-счетной палаты на 2022 год содержит </w:t>
      </w:r>
      <w:r w:rsidR="003133CF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8 </w:t>
      </w: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контрольных мероприятий, среди которых приоритетным, по прежнему, является контроль за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Запланированы проверки использования бюджетных средств и муниципального имущества в казенных и бюджетных учреждениях. 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В 2022 году запланировано участие в совместном с КСП Иркутской области контрольном мероприятии по проверке планирования и использования бюджетных средств на создание мест накопления твердых коммунальных отходов.</w:t>
      </w:r>
    </w:p>
    <w:p w:rsidR="005F2F13" w:rsidRPr="00593AC5" w:rsidRDefault="005F2F13" w:rsidP="005F2F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К ключевым ориентирам деятельности Контрольно-счетной палаты необходимо отнести: использование в текущей деятельности элементов стратегического аудита, аудита эффективности, повышение аналитической составляющей в деятельности КСП, осуществление проверок в сфере закупок, муниципального имущества в учреждениях</w:t>
      </w:r>
      <w:r w:rsidR="003133CF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района</w:t>
      </w: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, а также повышение профессионального развития и цифровой грамотности сотрудников.</w:t>
      </w:r>
    </w:p>
    <w:p w:rsidR="005F2F13" w:rsidRPr="00593AC5" w:rsidRDefault="005F2F13" w:rsidP="003133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>В 2022 году Контрольно-счетной палатой будет продолжена работа по осуществлению контроля за устранением выявленных нарушений по представлениям КСП, направленным объектам контроля.</w:t>
      </w:r>
    </w:p>
    <w:p w:rsidR="009C1B8C" w:rsidRPr="00593AC5" w:rsidRDefault="009C1B8C" w:rsidP="003133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8458C" w:rsidRPr="00593AC5" w:rsidRDefault="00732D2D" w:rsidP="00B117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7"/>
          <w:szCs w:val="27"/>
        </w:rPr>
      </w:pP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</w:t>
      </w:r>
      <w:r w:rsidR="009C1B8C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Председатель КСП                                                        </w:t>
      </w:r>
      <w:r w:rsidR="00131CF6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</w:t>
      </w:r>
      <w:r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</w:t>
      </w:r>
      <w:r w:rsidR="00131CF6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</w:t>
      </w:r>
      <w:r w:rsidR="009C1B8C" w:rsidRPr="00593AC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А.А. Кудлай</w:t>
      </w:r>
      <w:bookmarkStart w:id="0" w:name="_GoBack"/>
      <w:bookmarkEnd w:id="0"/>
    </w:p>
    <w:sectPr w:rsidR="00F8458C" w:rsidRPr="00593AC5" w:rsidSect="00131C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E76"/>
    <w:multiLevelType w:val="hybridMultilevel"/>
    <w:tmpl w:val="D170426C"/>
    <w:lvl w:ilvl="0" w:tplc="E640A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84333C"/>
    <w:multiLevelType w:val="hybridMultilevel"/>
    <w:tmpl w:val="CF28BC62"/>
    <w:lvl w:ilvl="0" w:tplc="A4CA46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FF75DF5"/>
    <w:multiLevelType w:val="hybridMultilevel"/>
    <w:tmpl w:val="040203A4"/>
    <w:lvl w:ilvl="0" w:tplc="81B0C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8"/>
    <w:rsid w:val="000314BB"/>
    <w:rsid w:val="000511E0"/>
    <w:rsid w:val="00064B69"/>
    <w:rsid w:val="000D08BB"/>
    <w:rsid w:val="000D5C76"/>
    <w:rsid w:val="000E1AA2"/>
    <w:rsid w:val="00125224"/>
    <w:rsid w:val="00131CF6"/>
    <w:rsid w:val="00140384"/>
    <w:rsid w:val="00143F34"/>
    <w:rsid w:val="00192800"/>
    <w:rsid w:val="001C61F6"/>
    <w:rsid w:val="001F2F72"/>
    <w:rsid w:val="001F51F9"/>
    <w:rsid w:val="00233853"/>
    <w:rsid w:val="00242145"/>
    <w:rsid w:val="00270BB8"/>
    <w:rsid w:val="00274398"/>
    <w:rsid w:val="002B6F7D"/>
    <w:rsid w:val="003133CF"/>
    <w:rsid w:val="003515B4"/>
    <w:rsid w:val="00394FA1"/>
    <w:rsid w:val="003A0EF7"/>
    <w:rsid w:val="003B6944"/>
    <w:rsid w:val="003F6D8E"/>
    <w:rsid w:val="00441C42"/>
    <w:rsid w:val="0049794C"/>
    <w:rsid w:val="004A2D69"/>
    <w:rsid w:val="004A32D8"/>
    <w:rsid w:val="004B0680"/>
    <w:rsid w:val="004E6E9B"/>
    <w:rsid w:val="0054191C"/>
    <w:rsid w:val="00593AC5"/>
    <w:rsid w:val="005C261F"/>
    <w:rsid w:val="005F2F13"/>
    <w:rsid w:val="00614ADB"/>
    <w:rsid w:val="006E2B3A"/>
    <w:rsid w:val="00701A39"/>
    <w:rsid w:val="00727F76"/>
    <w:rsid w:val="00732D28"/>
    <w:rsid w:val="00732D2D"/>
    <w:rsid w:val="00754A49"/>
    <w:rsid w:val="00786201"/>
    <w:rsid w:val="00790ADD"/>
    <w:rsid w:val="007D4C2E"/>
    <w:rsid w:val="0081513B"/>
    <w:rsid w:val="00876BED"/>
    <w:rsid w:val="008A7865"/>
    <w:rsid w:val="00976E0B"/>
    <w:rsid w:val="009C030D"/>
    <w:rsid w:val="009C1B8C"/>
    <w:rsid w:val="009D08B7"/>
    <w:rsid w:val="009D54C5"/>
    <w:rsid w:val="00A27CC9"/>
    <w:rsid w:val="00A41852"/>
    <w:rsid w:val="00A807C1"/>
    <w:rsid w:val="00A829D3"/>
    <w:rsid w:val="00AB6BAA"/>
    <w:rsid w:val="00AE417B"/>
    <w:rsid w:val="00AF469F"/>
    <w:rsid w:val="00B05B6E"/>
    <w:rsid w:val="00B11730"/>
    <w:rsid w:val="00B21ED8"/>
    <w:rsid w:val="00B22CC7"/>
    <w:rsid w:val="00B67AB8"/>
    <w:rsid w:val="00B83C00"/>
    <w:rsid w:val="00B9326E"/>
    <w:rsid w:val="00BC48FA"/>
    <w:rsid w:val="00BE1907"/>
    <w:rsid w:val="00C01389"/>
    <w:rsid w:val="00CA0107"/>
    <w:rsid w:val="00D24CA1"/>
    <w:rsid w:val="00D66DFC"/>
    <w:rsid w:val="00DB1E8A"/>
    <w:rsid w:val="00DE2E16"/>
    <w:rsid w:val="00DF0EE6"/>
    <w:rsid w:val="00DF54BF"/>
    <w:rsid w:val="00E1489D"/>
    <w:rsid w:val="00E35C7E"/>
    <w:rsid w:val="00E43A74"/>
    <w:rsid w:val="00E626AB"/>
    <w:rsid w:val="00E846E6"/>
    <w:rsid w:val="00E84AED"/>
    <w:rsid w:val="00EC511F"/>
    <w:rsid w:val="00F17C24"/>
    <w:rsid w:val="00F43FE0"/>
    <w:rsid w:val="00F732AB"/>
    <w:rsid w:val="00F8458C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FBE840"/>
  <w15:chartTrackingRefBased/>
  <w15:docId w15:val="{1A04048F-ED2C-43B9-9877-8C0AEE5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B1E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B1E8A"/>
    <w:pPr>
      <w:keepNext/>
      <w:spacing w:after="0" w:line="240" w:lineRule="auto"/>
      <w:ind w:firstLine="709"/>
      <w:jc w:val="both"/>
      <w:outlineLvl w:val="2"/>
    </w:pPr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F6"/>
    <w:pPr>
      <w:ind w:left="720"/>
      <w:contextualSpacing/>
    </w:pPr>
  </w:style>
  <w:style w:type="paragraph" w:customStyle="1" w:styleId="ConsNonformat">
    <w:name w:val="ConsNonformat"/>
    <w:rsid w:val="00A80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07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14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54191C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54191C"/>
    <w:pPr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3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3C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B1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B1E8A"/>
    <w:rPr>
      <w:rFonts w:ascii="Times New Roman" w:eastAsia="TextBook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1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2022-03-28T04:44:00Z</cp:lastPrinted>
  <dcterms:created xsi:type="dcterms:W3CDTF">2022-03-09T07:16:00Z</dcterms:created>
  <dcterms:modified xsi:type="dcterms:W3CDTF">2022-05-25T02:56:00Z</dcterms:modified>
</cp:coreProperties>
</file>